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93"/>
        <w:gridCol w:w="6662"/>
        <w:gridCol w:w="5465"/>
      </w:tblGrid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125810" w:rsidRDefault="005D6884" w:rsidP="00125810">
            <w:pPr>
              <w:jc w:val="center"/>
              <w:rPr>
                <w:rFonts w:ascii="Calibri" w:eastAsia="Times New Roman" w:hAnsi="Calibri" w:cs="Arial"/>
                <w:b/>
                <w:i/>
                <w:color w:val="0070C0"/>
                <w:sz w:val="40"/>
                <w:szCs w:val="40"/>
              </w:rPr>
            </w:pPr>
            <w:r w:rsidRPr="005D6884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Časovna vrednost denarja</w:t>
            </w:r>
          </w:p>
        </w:tc>
        <w:tc>
          <w:tcPr>
            <w:tcW w:w="5465" w:type="dxa"/>
            <w:vAlign w:val="center"/>
          </w:tcPr>
          <w:p w:rsidR="00125810" w:rsidRPr="005D6884" w:rsidRDefault="00125810" w:rsidP="00124A93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Prihodnja vrednost    </w:t>
            </w:r>
          </w:p>
        </w:tc>
        <w:tc>
          <w:tcPr>
            <w:tcW w:w="6662" w:type="dxa"/>
            <w:vAlign w:val="center"/>
          </w:tcPr>
          <w:p w:rsidR="00125810" w:rsidRPr="00125810" w:rsidRDefault="000F0FFE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FV</w:t>
            </w:r>
          </w:p>
        </w:tc>
        <w:tc>
          <w:tcPr>
            <w:tcW w:w="5465" w:type="dxa"/>
            <w:vAlign w:val="center"/>
          </w:tcPr>
          <w:p w:rsidR="00125810" w:rsidRPr="006528A2" w:rsidRDefault="00125810" w:rsidP="00124A93">
            <w:pPr>
              <w:jc w:val="center"/>
              <w:rPr>
                <w:rFonts w:eastAsiaTheme="minorEastAsia"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>FV=PV (1+r)</m:t>
                </m:r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Prihodnja vrednost n obdobij 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6528A2" w:rsidRDefault="00125810" w:rsidP="00124A93">
            <w:pPr>
              <w:jc w:val="center"/>
              <w:rPr>
                <w:rFonts w:eastAsiaTheme="minorEastAsia"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sz w:val="20"/>
                    <w:szCs w:val="20"/>
                  </w:rPr>
                  <m:t xml:space="preserve">FV=PV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szCs w:val="20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Splošna enačba prihodnje vrednosti za večkratna vplačila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086434" w:rsidP="00D846EB">
            <w:pPr>
              <w:jc w:val="center"/>
              <w:rPr>
                <w:rFonts w:eastAsiaTheme="minorEastAsia"/>
                <w:color w:val="0070C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70C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70C0"/>
                        <w:sz w:val="20"/>
                        <w:szCs w:val="20"/>
                      </w:rPr>
                      <m:t>FV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70C0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70C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eastAsiaTheme="minorEastAsia" w:hAnsi="Cambria Math"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color w:val="0070C0"/>
                        <w:sz w:val="20"/>
                        <w:szCs w:val="20"/>
                      </w:rPr>
                      <m:t>t=0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70C0"/>
                        <w:sz w:val="20"/>
                        <w:szCs w:val="20"/>
                      </w:rPr>
                      <m:t>n-1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70C0"/>
                        <w:sz w:val="20"/>
                        <w:szCs w:val="20"/>
                      </w:rPr>
                      <m:t xml:space="preserve"> x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FVIF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n-1</m:t>
                        </m:r>
                      </m:sub>
                    </m:sSub>
                  </m:e>
                </m:nary>
              </m:oMath>
            </m:oMathPara>
          </w:p>
          <w:p w:rsidR="000F0FFE" w:rsidRDefault="000F0FFE" w:rsidP="00A36B58">
            <w:pPr>
              <w:rPr>
                <w:rFonts w:eastAsiaTheme="minorEastAsia"/>
                <w:color w:val="0070C0"/>
                <w:sz w:val="20"/>
                <w:szCs w:val="20"/>
              </w:rPr>
            </w:pPr>
            <w:r>
              <w:rPr>
                <w:rFonts w:eastAsiaTheme="minorEastAsia"/>
                <w:color w:val="0070C0"/>
                <w:sz w:val="20"/>
                <w:szCs w:val="20"/>
              </w:rPr>
              <w:t xml:space="preserve">FVIF – faktor prihodnje vrednosti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  <w:sz w:val="20"/>
                      <w:szCs w:val="20"/>
                    </w:rPr>
                    <m:t>(1+r)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  <w:sz w:val="20"/>
                      <w:szCs w:val="20"/>
                    </w:rPr>
                    <m:t>n</m:t>
                  </m:r>
                </m:sup>
              </m:sSup>
            </m:oMath>
          </w:p>
          <w:p w:rsidR="00B811B0" w:rsidRDefault="00B811B0" w:rsidP="00A36B58">
            <w:pPr>
              <w:rPr>
                <w:rFonts w:eastAsiaTheme="minorEastAsia"/>
                <w:b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color w:val="0070C0"/>
                <w:sz w:val="20"/>
                <w:szCs w:val="20"/>
              </w:rPr>
              <w:t>I – glavnica obdobja t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Sedanja vrednost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150D50" w:rsidRDefault="00125810" w:rsidP="00150D50">
            <w:pPr>
              <w:jc w:val="center"/>
              <w:rPr>
                <w:rFonts w:eastAsiaTheme="minorEastAsia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0"/>
                    <w:szCs w:val="20"/>
                  </w:rPr>
                  <m:t xml:space="preserve">PV=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FV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Splošna enačba sedanje vrednosti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PV=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70C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70C0"/>
                                    <w:sz w:val="20"/>
                                    <w:szCs w:val="20"/>
                                  </w:rPr>
                                  <m:t>1+r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t</m:t>
                        </m:r>
                      </m:sup>
                    </m:sSup>
                  </m:e>
                </m:nary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5D6884" w:rsidRDefault="005D6884" w:rsidP="005D6884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 w:rsidRPr="005D6884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Vrednotenje  obveznic</w:t>
            </w:r>
          </w:p>
        </w:tc>
        <w:tc>
          <w:tcPr>
            <w:tcW w:w="5465" w:type="dxa"/>
            <w:vAlign w:val="center"/>
          </w:tcPr>
          <w:p w:rsidR="00125810" w:rsidRPr="00BA4675" w:rsidRDefault="00125810" w:rsidP="005D6884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36"/>
                <w:szCs w:val="36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Brezkuponska obveznica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637F6F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PV=FV×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9644DA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Običajna obveznica s kuponi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PV=FV×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+R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(1+r)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Obveznica brez dospetja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5D6884" w:rsidRDefault="005D6884" w:rsidP="001A3E0C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1A3E0C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r</m:t>
                    </m:r>
                  </m:den>
                </m:f>
              </m:oMath>
            </m:oMathPara>
          </w:p>
          <w:p w:rsidR="00E644B8" w:rsidRDefault="00E644B8" w:rsidP="001A3E0C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R – Donos</w:t>
            </w:r>
          </w:p>
          <w:p w:rsidR="00E644B8" w:rsidRDefault="00E644B8" w:rsidP="00F81400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r – </w:t>
            </w:r>
            <w:r w:rsidR="00F81400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faktor 1-i/100  npr. za</w:t>
            </w:r>
            <w:r w:rsidR="003B3F91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10% je 0,10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Nominalni donos obveznice</w:t>
            </w:r>
          </w:p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5D6884" w:rsidRDefault="005D6884" w:rsidP="007549F8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7549F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NDO=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NLOM×NVO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  <w:p w:rsidR="00125810" w:rsidRPr="005D6884" w:rsidRDefault="00125810" w:rsidP="007549F8">
            <w:pPr>
              <w:rPr>
                <w:rFonts w:eastAsiaTheme="minorEastAsia"/>
                <w:i/>
                <w:color w:val="0070C0"/>
                <w:sz w:val="20"/>
                <w:szCs w:val="20"/>
              </w:rPr>
            </w:pPr>
            <w:r w:rsidRPr="005D6884">
              <w:rPr>
                <w:rFonts w:eastAsiaTheme="minorEastAsia"/>
                <w:i/>
                <w:color w:val="0070C0"/>
                <w:sz w:val="20"/>
                <w:szCs w:val="20"/>
              </w:rPr>
              <w:t>NDO = nominlani donos obveznice</w:t>
            </w:r>
          </w:p>
          <w:p w:rsidR="00125810" w:rsidRPr="005D6884" w:rsidRDefault="00125810" w:rsidP="007549F8">
            <w:pPr>
              <w:rPr>
                <w:rFonts w:eastAsiaTheme="minorEastAsia"/>
                <w:i/>
                <w:color w:val="0070C0"/>
                <w:sz w:val="20"/>
                <w:szCs w:val="20"/>
              </w:rPr>
            </w:pPr>
            <w:r w:rsidRPr="005D6884">
              <w:rPr>
                <w:rFonts w:eastAsiaTheme="minorEastAsia"/>
                <w:i/>
                <w:color w:val="0070C0"/>
                <w:sz w:val="20"/>
                <w:szCs w:val="20"/>
              </w:rPr>
              <w:t>NLOM – nominalna letna obrestna mera</w:t>
            </w:r>
          </w:p>
          <w:p w:rsidR="00125810" w:rsidRPr="007549F8" w:rsidRDefault="00125810" w:rsidP="007549F8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eastAsiaTheme="minorEastAsia"/>
                <w:i/>
                <w:color w:val="0070C0"/>
                <w:sz w:val="20"/>
                <w:szCs w:val="20"/>
              </w:rPr>
              <w:t>NVO – nominalna vrednost obvezni</w:t>
            </w:r>
            <w:r>
              <w:rPr>
                <w:rFonts w:eastAsiaTheme="minorEastAsia"/>
                <w:i/>
                <w:color w:val="0070C0"/>
                <w:sz w:val="24"/>
                <w:szCs w:val="24"/>
              </w:rPr>
              <w:t>ce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Tekoči donos obveznice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7549F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TDO=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NLOM×NVO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NTO</m:t>
                    </m:r>
                  </m:den>
                </m:f>
              </m:oMath>
            </m:oMathPara>
          </w:p>
          <w:p w:rsidR="00125810" w:rsidRPr="005D6884" w:rsidRDefault="00125810" w:rsidP="007549F8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NLOM – nominalna letna obrestna mera</w:t>
            </w:r>
          </w:p>
          <w:p w:rsidR="00125810" w:rsidRPr="005D6884" w:rsidRDefault="00125810" w:rsidP="007549F8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NVO – nominalna vrednost obveznice</w:t>
            </w:r>
          </w:p>
          <w:p w:rsidR="00125810" w:rsidRPr="007549F8" w:rsidRDefault="00125810" w:rsidP="007549F8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NTO – nakupni tečaj obveznice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lastRenderedPageBreak/>
              <w:t>Dejanski donos obveznice do zapadlosti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6227D2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DDOZ=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NOB+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NVO-DTO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ODZ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DTO+NVO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den>
                </m:f>
              </m:oMath>
            </m:oMathPara>
          </w:p>
          <w:p w:rsidR="00125810" w:rsidRPr="005D6884" w:rsidRDefault="00125810" w:rsidP="006227D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DDOZ – dejanski donos obveznice do zapadlosti</w:t>
            </w:r>
          </w:p>
          <w:p w:rsidR="00125810" w:rsidRPr="005D6884" w:rsidRDefault="00125810" w:rsidP="006227D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NOB – nominalna obrestna mera</w:t>
            </w:r>
          </w:p>
          <w:p w:rsidR="00125810" w:rsidRPr="005D6884" w:rsidRDefault="00125810" w:rsidP="006227D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NVO – nominalna vrednost obveznice</w:t>
            </w:r>
          </w:p>
          <w:p w:rsidR="00125810" w:rsidRPr="005D6884" w:rsidRDefault="00125810" w:rsidP="006227D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DTO – dnevni tečaj obveznice</w:t>
            </w:r>
          </w:p>
          <w:p w:rsidR="00125810" w:rsidRDefault="00125810" w:rsidP="006227D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ODZ – obdobja do zapadlosti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Cena zamenjave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B5563C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 xml:space="preserve">CZ=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nom. vredn.zamenljive obv.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št. delnic na zamenljivo obv.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± plačiloza delnico</m:t>
                </m:r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D6884" w:rsidRPr="005D6884" w:rsidRDefault="005D6884" w:rsidP="005D6884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 w:rsidRPr="005D6884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Vrednotenje  delnic</w:t>
            </w:r>
          </w:p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BA4675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Splošna enačba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B77E86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∞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∞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Div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(1+r)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Enačba enakih dividend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82796D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Div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r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Enačba enakomerne rasti</w:t>
            </w:r>
          </w:p>
        </w:tc>
        <w:tc>
          <w:tcPr>
            <w:tcW w:w="6662" w:type="dxa"/>
            <w:vAlign w:val="center"/>
          </w:tcPr>
          <w:p w:rsidR="00125810" w:rsidRPr="00125810" w:rsidRDefault="00173582" w:rsidP="00D62001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Temelji na predpostavki, da bodo dividende vsako naslednje obdobje porasle za enak odstotek q. Prva dividenda Div</w:t>
            </w:r>
            <w:r w:rsidRPr="00173582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  <w:vertAlign w:val="subscript"/>
              </w:rPr>
              <w:t>0</w:t>
            </w: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 je znana</w:t>
            </w:r>
            <w:r w:rsidR="0037693F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. </w:t>
            </w:r>
            <w:r w:rsidR="00D62001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r</w:t>
            </w:r>
            <w:r w:rsidR="0037693F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 je zahtevana stopnja donosa.</w:t>
            </w:r>
          </w:p>
        </w:tc>
        <w:tc>
          <w:tcPr>
            <w:tcW w:w="5465" w:type="dxa"/>
            <w:vAlign w:val="center"/>
          </w:tcPr>
          <w:p w:rsidR="00125810" w:rsidRDefault="00125810" w:rsidP="0053050A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Div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0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(1+q)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(1+r)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AC09F2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Poenostavljena enačba enakomerne rasti </w:t>
            </w:r>
          </w:p>
        </w:tc>
        <w:tc>
          <w:tcPr>
            <w:tcW w:w="6662" w:type="dxa"/>
            <w:vAlign w:val="center"/>
          </w:tcPr>
          <w:p w:rsidR="00125810" w:rsidRPr="00125810" w:rsidRDefault="00AC644F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Predpostavlja da se pričakuje </w:t>
            </w:r>
            <w:r w:rsidR="00B05572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rast </w:t>
            </w: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dividende vsako leto do neskončnosti za enak odstotek.</w:t>
            </w:r>
          </w:p>
        </w:tc>
        <w:tc>
          <w:tcPr>
            <w:tcW w:w="5465" w:type="dxa"/>
            <w:vAlign w:val="center"/>
          </w:tcPr>
          <w:p w:rsidR="00125810" w:rsidRDefault="00125810" w:rsidP="001E5ED3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r-q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Sestavljena enačba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46715B" w:rsidRDefault="0046715B" w:rsidP="00D33CD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D33CDD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Div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4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Div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5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r-q</m:t>
                        </m:r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Delniški donos</w:t>
            </w:r>
          </w:p>
        </w:tc>
        <w:tc>
          <w:tcPr>
            <w:tcW w:w="6662" w:type="dxa"/>
            <w:vAlign w:val="center"/>
          </w:tcPr>
          <w:p w:rsidR="00125810" w:rsidRPr="00125810" w:rsidRDefault="00453031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Je donos delnice</w:t>
            </w:r>
          </w:p>
        </w:tc>
        <w:tc>
          <w:tcPr>
            <w:tcW w:w="5465" w:type="dxa"/>
            <w:vAlign w:val="center"/>
          </w:tcPr>
          <w:p w:rsidR="00125810" w:rsidRDefault="00125810" w:rsidP="00141F10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delniški donos=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dividenda×100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tečaj delnice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Očiščen donos delnice</w:t>
            </w:r>
          </w:p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St.dni – število dni od zadnjega izplačila</w:t>
            </w:r>
          </w:p>
        </w:tc>
        <w:tc>
          <w:tcPr>
            <w:tcW w:w="6662" w:type="dxa"/>
            <w:vAlign w:val="center"/>
          </w:tcPr>
          <w:p w:rsidR="00125810" w:rsidRDefault="00453031" w:rsidP="00453031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Ker tečaj delnice po izplačilu dividende pade, očiščen donos upošteva število dni od zadnjega izplačila.</w:t>
            </w:r>
          </w:p>
          <w:p w:rsidR="00453031" w:rsidRPr="00125810" w:rsidRDefault="00453031" w:rsidP="00453031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AF05C8" w:rsidRDefault="00125810">
            <w:pPr>
              <w:rPr>
                <w:rFonts w:eastAsiaTheme="minorEastAsia"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4"/>
                    <w:szCs w:val="24"/>
                  </w:rPr>
                  <m:t>očiščen donos=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4"/>
                        <w:szCs w:val="24"/>
                      </w:rPr>
                      <m:t>dividenda×100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4"/>
                        <w:szCs w:val="24"/>
                      </w:rPr>
                      <m:t xml:space="preserve">tečaj delnice-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4"/>
                            <w:szCs w:val="24"/>
                          </w:rPr>
                          <m:t>dividenda × st.dni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4"/>
                            <w:szCs w:val="24"/>
                          </w:rPr>
                          <m:t>360</m:t>
                        </m:r>
                      </m:den>
                    </m:f>
                  </m:den>
                </m:f>
              </m:oMath>
            </m:oMathPara>
          </w:p>
          <w:p w:rsidR="00453031" w:rsidRDefault="00453031">
            <w:pPr>
              <w:rPr>
                <w:rFonts w:eastAsiaTheme="minorEastAsia"/>
                <w:color w:val="0070C0"/>
                <w:sz w:val="20"/>
                <w:szCs w:val="20"/>
              </w:rPr>
            </w:pPr>
            <w:r>
              <w:rPr>
                <w:rFonts w:eastAsiaTheme="minorEastAsia"/>
                <w:color w:val="0070C0"/>
                <w:sz w:val="20"/>
                <w:szCs w:val="20"/>
              </w:rPr>
              <w:t>St.dni - od zadnjega izplačila dividend</w:t>
            </w:r>
          </w:p>
          <w:p w:rsidR="00F47FF9" w:rsidRDefault="00F47FF9" w:rsidP="00F47FF9">
            <w:r>
              <w:rPr>
                <w:rFonts w:eastAsiaTheme="minorEastAsia"/>
                <w:color w:val="0070C0"/>
                <w:sz w:val="20"/>
                <w:szCs w:val="20"/>
              </w:rPr>
              <w:t>tečaj delnice – tečaj po izplačilu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Donos delnice v obdobju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902CAE" w:rsidRDefault="00902CAE" w:rsidP="00AC09F2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w:lastRenderedPageBreak/>
                  <m:t>DDO=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TKO-TZO+IDO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TZO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×100</m:t>
                </m:r>
              </m:oMath>
            </m:oMathPara>
          </w:p>
          <w:p w:rsidR="00125810" w:rsidRPr="005D6884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TKO – tečaj na</w:t>
            </w:r>
            <w:r w:rsidR="00D35103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koncu</w:t>
            </w: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obdobja</w:t>
            </w:r>
          </w:p>
          <w:p w:rsidR="00125810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TZO – tečaj na</w:t>
            </w:r>
            <w:r w:rsidR="00D35103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začetku </w:t>
            </w: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obdobja</w:t>
            </w:r>
          </w:p>
          <w:p w:rsidR="00167A46" w:rsidRDefault="00167A46" w:rsidP="00AC09F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IDO – izplačana dividenda v obdobju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lastRenderedPageBreak/>
              <w:t>T/D razmerje</w:t>
            </w:r>
          </w:p>
        </w:tc>
        <w:tc>
          <w:tcPr>
            <w:tcW w:w="6662" w:type="dxa"/>
            <w:vAlign w:val="center"/>
          </w:tcPr>
          <w:p w:rsidR="00125810" w:rsidRPr="00125810" w:rsidRDefault="006F3D7B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Razmerje med ceno</w:t>
            </w:r>
            <w:r w:rsidR="00734051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delnice</w:t>
            </w: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 in dobičkom na delnico</w:t>
            </w:r>
          </w:p>
        </w:tc>
        <w:tc>
          <w:tcPr>
            <w:tcW w:w="5465" w:type="dxa"/>
            <w:vAlign w:val="center"/>
          </w:tcPr>
          <w:p w:rsidR="00125810" w:rsidRDefault="00086434"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razmerje=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tečaj delnice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dobiček na delnico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Razmerje izplačila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761794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razmerje izplačila=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izplačana dividenada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dobiček na delnico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×100</m:t>
                </m:r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Knjižna vrednost delnice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3A5420" w:rsidRDefault="003A5420" w:rsidP="00AC09F2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knjižna vrednost delnice=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CDK+IRD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SID</m:t>
                    </m:r>
                  </m:den>
                </m:f>
              </m:oMath>
            </m:oMathPara>
          </w:p>
          <w:p w:rsidR="00125810" w:rsidRPr="005D6884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CDK – celoten delniški kapital</w:t>
            </w:r>
          </w:p>
          <w:p w:rsidR="00125810" w:rsidRPr="005D6884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IRD – izkazane rezerve družbe</w:t>
            </w:r>
          </w:p>
          <w:p w:rsidR="00125810" w:rsidRDefault="00125810" w:rsidP="00AC09F2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SID – število izdanih delnic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096F5D" w:rsidRDefault="00F11640" w:rsidP="00096F5D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Statistične metode</w:t>
            </w:r>
          </w:p>
        </w:tc>
        <w:tc>
          <w:tcPr>
            <w:tcW w:w="5465" w:type="dxa"/>
            <w:vAlign w:val="center"/>
          </w:tcPr>
          <w:p w:rsidR="00125810" w:rsidRPr="00725F4C" w:rsidRDefault="00125810" w:rsidP="00096F5D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40"/>
                <w:szCs w:val="40"/>
              </w:rPr>
            </w:pPr>
          </w:p>
        </w:tc>
      </w:tr>
      <w:tr w:rsidR="000055B3" w:rsidTr="00E34ABD">
        <w:tc>
          <w:tcPr>
            <w:tcW w:w="2093" w:type="dxa"/>
            <w:vAlign w:val="center"/>
          </w:tcPr>
          <w:p w:rsidR="000055B3" w:rsidRPr="00125810" w:rsidRDefault="00652E6E" w:rsidP="00652E6E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Aritmetična sredina iz frekvenčne porazdelitve </w:t>
            </w:r>
          </w:p>
        </w:tc>
        <w:tc>
          <w:tcPr>
            <w:tcW w:w="6662" w:type="dxa"/>
            <w:vAlign w:val="center"/>
          </w:tcPr>
          <w:p w:rsidR="000055B3" w:rsidRPr="00125810" w:rsidRDefault="000055B3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652E6E" w:rsidRDefault="0036319D" w:rsidP="00652E6E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 xml:space="preserve">Vsota vrednosti Y=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j=1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k</m:t>
                    </m:r>
                  </m:sup>
                  <m:e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yj×fj</m:t>
                    </m:r>
                  </m:e>
                </m:nary>
              </m:oMath>
            </m:oMathPara>
          </w:p>
          <w:p w:rsidR="00656A4C" w:rsidRPr="00652E6E" w:rsidRDefault="0036319D" w:rsidP="00656A4C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M=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yj×fj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fj</m:t>
                        </m:r>
                      </m:e>
                    </m:nary>
                  </m:den>
                </m:f>
              </m:oMath>
            </m:oMathPara>
          </w:p>
        </w:tc>
      </w:tr>
      <w:tr w:rsidR="00EF1ED3" w:rsidTr="00E34ABD">
        <w:tc>
          <w:tcPr>
            <w:tcW w:w="2093" w:type="dxa"/>
            <w:vAlign w:val="center"/>
          </w:tcPr>
          <w:p w:rsidR="00EF1ED3" w:rsidRDefault="00EF1ED3" w:rsidP="00652E6E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Mediana</w:t>
            </w:r>
          </w:p>
        </w:tc>
        <w:tc>
          <w:tcPr>
            <w:tcW w:w="6662" w:type="dxa"/>
            <w:vAlign w:val="center"/>
          </w:tcPr>
          <w:p w:rsidR="00EF1ED3" w:rsidRPr="00125810" w:rsidRDefault="00EF1ED3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9245DE" w:rsidRDefault="009245DE" w:rsidP="00EF1ED3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EF1ED3" w:rsidRDefault="00EF1ED3" w:rsidP="00EF1ED3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R=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N+1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9947BA" w:rsidRDefault="009947BA" w:rsidP="009947BA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Če je liho število razredov Me= vrednosti v razredu R</w:t>
            </w:r>
          </w:p>
          <w:p w:rsidR="009947BA" w:rsidRDefault="009947BA" w:rsidP="009947BA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9947BA" w:rsidRPr="009947BA" w:rsidRDefault="009947BA" w:rsidP="009947BA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Če je sodo število je </w:t>
            </w:r>
            <m:oMath>
              <m:r>
                <w:rPr>
                  <w:rFonts w:ascii="Cambria Math" w:eastAsia="Times New Roman" w:hAnsi="Cambria Math" w:cs="Arial"/>
                  <w:color w:val="0070C0"/>
                  <w:sz w:val="20"/>
                  <w:szCs w:val="20"/>
                </w:rPr>
                <m:t xml:space="preserve">Me=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70C0"/>
                      <w:sz w:val="20"/>
                      <w:szCs w:val="20"/>
                    </w:rPr>
                    <m:t>yR-0,5+yR+0,5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70C0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9947BA" w:rsidRDefault="009947BA" w:rsidP="009947BA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0E7858" w:rsidTr="00E34ABD">
        <w:tc>
          <w:tcPr>
            <w:tcW w:w="2093" w:type="dxa"/>
            <w:vAlign w:val="center"/>
          </w:tcPr>
          <w:p w:rsidR="000E7858" w:rsidRDefault="000E7858" w:rsidP="00652E6E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Mediana iz frekvenčne porazdelitve</w:t>
            </w:r>
          </w:p>
        </w:tc>
        <w:tc>
          <w:tcPr>
            <w:tcW w:w="6662" w:type="dxa"/>
            <w:vAlign w:val="center"/>
          </w:tcPr>
          <w:p w:rsidR="000E7858" w:rsidRPr="00125810" w:rsidRDefault="000E7858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Me=y0,</m:t>
                </m:r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min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+d0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R-F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f</m:t>
                        </m:r>
                      </m:den>
                    </m:f>
                  </m:e>
                </m:func>
              </m:oMath>
            </m:oMathPara>
          </w:p>
          <w:p w:rsidR="00FB531D" w:rsidRDefault="00FB531D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y</w:t>
            </w:r>
            <w:r w:rsidRPr="0045072D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0,min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– spodnja meja razreda</w:t>
            </w:r>
          </w:p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d</w:t>
            </w:r>
            <w:r w:rsidRPr="0045072D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– širina razreda</w:t>
            </w:r>
          </w:p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 – frekvenca</w:t>
            </w:r>
          </w:p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 – kumulativa frekvenc pod medialnim razredom</w:t>
            </w:r>
          </w:p>
          <w:p w:rsidR="000E7858" w:rsidRDefault="000E7858" w:rsidP="000E7858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061701" w:rsidTr="00E34ABD">
        <w:tc>
          <w:tcPr>
            <w:tcW w:w="2093" w:type="dxa"/>
            <w:vAlign w:val="center"/>
          </w:tcPr>
          <w:p w:rsidR="00061701" w:rsidRDefault="00061701" w:rsidP="00652E6E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lastRenderedPageBreak/>
              <w:t>Modus</w:t>
            </w:r>
          </w:p>
          <w:p w:rsidR="00061701" w:rsidRDefault="00061701" w:rsidP="00652E6E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061701" w:rsidRPr="00125810" w:rsidRDefault="00061701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 xml:space="preserve">Mo= </m:t>
                </m:r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y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0,min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+d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0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f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0</m:t>
                        </m:r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-f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2f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0</m:t>
                        </m:r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-f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-1</m:t>
                        </m:r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-f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+1</m:t>
                        </m:r>
                      </m:den>
                    </m:f>
                  </m:e>
                </m:func>
              </m:oMath>
            </m:oMathPara>
          </w:p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Y</w:t>
            </w:r>
            <w:r w:rsidRPr="00061701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0,min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 xml:space="preserve"> </w:t>
            </w:r>
            <w:r w:rsidR="001914EE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spodnja meje razreda</w:t>
            </w:r>
          </w:p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– širina razreda</w:t>
            </w:r>
          </w:p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– frekvenca</w:t>
            </w:r>
          </w:p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-1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- frekvenca pred modalnim razredom</w:t>
            </w:r>
          </w:p>
          <w:p w:rsidR="00061701" w:rsidRP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+1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-frekvenca za modalnim razredom</w:t>
            </w:r>
          </w:p>
          <w:p w:rsidR="00061701" w:rsidRDefault="00061701" w:rsidP="0006170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Povprečni donos</w:t>
            </w:r>
          </w:p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PDx – povprečni donos</w:t>
            </w:r>
          </w:p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Dxn – donos v posameznem letu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D7454E"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PDx=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(Dx1+Dx2+…Dxn )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Varianca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E25309" w:rsidRPr="00E25309" w:rsidRDefault="00E25309" w:rsidP="00E25309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125810" w:rsidRDefault="00125810" w:rsidP="00E25309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m:t>D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m:t>xt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m:t>-PD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m:t>xt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  <w:p w:rsidR="009A65A0" w:rsidRDefault="009A65A0" w:rsidP="00E25309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  <w:vertAlign w:val="subscript"/>
              </w:rPr>
              <w:t>x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– donos v posameznem letu</w:t>
            </w:r>
          </w:p>
          <w:p w:rsidR="009A65A0" w:rsidRDefault="009A65A0" w:rsidP="00E25309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PD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  <w:vertAlign w:val="subscript"/>
              </w:rPr>
              <w:t>x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– povprečni donos vrednostnega papirja</w:t>
            </w:r>
          </w:p>
          <w:p w:rsidR="009A65A0" w:rsidRDefault="009A65A0" w:rsidP="00E25309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 – časovno obdobje</w:t>
            </w:r>
          </w:p>
          <w:p w:rsidR="009A65A0" w:rsidRPr="009A65A0" w:rsidRDefault="009A65A0" w:rsidP="00E25309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V - varianca</w:t>
            </w:r>
          </w:p>
          <w:p w:rsidR="00E25309" w:rsidRDefault="00E25309" w:rsidP="00E25309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Standardni odklon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104DDD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 xml:space="preserve">SO= 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  <w:sz w:val="20"/>
                                <w:szCs w:val="20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70C0"/>
                                    <w:sz w:val="20"/>
                                    <w:szCs w:val="20"/>
                                  </w:rPr>
                                  <m:t>(Dxt-PDx)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70C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  <w:p w:rsidR="00977CB7" w:rsidRDefault="00977CB7" w:rsidP="00977CB7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  <w:vertAlign w:val="subscript"/>
              </w:rPr>
              <w:t>x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– donos v posameznem letu</w:t>
            </w:r>
          </w:p>
          <w:p w:rsidR="00977CB7" w:rsidRDefault="00977CB7" w:rsidP="00977CB7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PD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  <w:vertAlign w:val="subscript"/>
              </w:rPr>
              <w:t>x</w:t>
            </w: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 xml:space="preserve"> – povprečni donos vrednostnega papirja</w:t>
            </w:r>
          </w:p>
          <w:p w:rsidR="00977CB7" w:rsidRDefault="00977CB7" w:rsidP="00977CB7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n – časovno obdobje</w:t>
            </w:r>
          </w:p>
          <w:p w:rsidR="00977CB7" w:rsidRPr="009A65A0" w:rsidRDefault="00977CB7" w:rsidP="00977CB7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SO  - standardni odklon</w:t>
            </w:r>
          </w:p>
          <w:p w:rsidR="00977CB7" w:rsidRDefault="00977CB7" w:rsidP="00104DDD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096F5D" w:rsidRPr="00FA40C1" w:rsidRDefault="00096F5D" w:rsidP="00096F5D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 w:rsidRPr="00FA40C1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Dnevi vezave</w:t>
            </w:r>
          </w:p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FA40C1" w:rsidRDefault="00125810" w:rsidP="00096F5D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8"/>
                <w:szCs w:val="28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Dnevi </w:t>
            </w:r>
            <w:r w:rsidRPr="00652E6E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 xml:space="preserve">vezave terjatev do </w:t>
            </w: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kupcev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365×terjatve do kupcev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Čisti prihodki od prodaja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Dnevi vezave gibljivih sredstev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365×gibljiva sredstva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Poslovni prihodki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lastRenderedPageBreak/>
              <w:t>Dnevi vezave zalog blaga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8C416A" w:rsidRDefault="00125810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365×zaloge blaga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Prihodki od prodaje blaga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Dnevi vezave denarnih sredstev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8C416A" w:rsidRDefault="00125810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365×denarna sredstva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Pos</m:t>
                    </m:r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lovni prihodki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Dnevi vezave obveznosti do dobaviteljev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8C416A" w:rsidRDefault="00125810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365×obveznosti do dobaviteljev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Stroški blaga, mat., storitev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FA40C1" w:rsidRDefault="00FA40C1" w:rsidP="00FA40C1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 w:rsidRPr="00FA40C1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Točka preloma</w:t>
            </w:r>
          </w:p>
        </w:tc>
        <w:tc>
          <w:tcPr>
            <w:tcW w:w="5465" w:type="dxa"/>
            <w:vAlign w:val="center"/>
          </w:tcPr>
          <w:p w:rsidR="00125810" w:rsidRPr="00725F4C" w:rsidRDefault="00125810" w:rsidP="00FA40C1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40"/>
                <w:szCs w:val="40"/>
              </w:rPr>
            </w:pPr>
          </w:p>
        </w:tc>
      </w:tr>
      <w:tr w:rsidR="00214F41" w:rsidTr="00E34ABD">
        <w:tc>
          <w:tcPr>
            <w:tcW w:w="2093" w:type="dxa"/>
            <w:vAlign w:val="center"/>
          </w:tcPr>
          <w:p w:rsidR="00214F41" w:rsidRPr="00125810" w:rsidRDefault="00214F41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Dobiček</w:t>
            </w:r>
          </w:p>
        </w:tc>
        <w:tc>
          <w:tcPr>
            <w:tcW w:w="6662" w:type="dxa"/>
            <w:vAlign w:val="center"/>
          </w:tcPr>
          <w:p w:rsidR="00214F41" w:rsidRPr="00125810" w:rsidRDefault="00214F41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214F41" w:rsidRDefault="00214F41" w:rsidP="00214F4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TP=TR-VC-FC</m:t>
                </m:r>
              </m:oMath>
            </m:oMathPara>
          </w:p>
          <w:p w:rsidR="00214F41" w:rsidRDefault="00214F41" w:rsidP="00214F4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TP – celotni dobiček</w:t>
            </w:r>
          </w:p>
          <w:p w:rsidR="00214F41" w:rsidRDefault="00214F41" w:rsidP="00214F4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TR – prihodki</w:t>
            </w:r>
          </w:p>
          <w:p w:rsidR="00214F41" w:rsidRDefault="00214F41" w:rsidP="00214F4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VC – variabilni stroški</w:t>
            </w:r>
          </w:p>
          <w:p w:rsidR="00214F41" w:rsidRDefault="00214F41" w:rsidP="00214F41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FC – fiksni stroški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Točka preloma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MPP=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FC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VS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70C0"/>
                            <w:sz w:val="20"/>
                            <w:szCs w:val="20"/>
                          </w:rPr>
                          <m:t>PPP</m:t>
                        </m:r>
                      </m:den>
                    </m:f>
                  </m:den>
                </m:f>
              </m:oMath>
            </m:oMathPara>
          </w:p>
          <w:p w:rsidR="00D24814" w:rsidRDefault="00D24814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FC – fiksni stroški</w:t>
            </w:r>
          </w:p>
          <w:p w:rsidR="00D24814" w:rsidRDefault="00D24814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VS – variabilni stroški</w:t>
            </w:r>
          </w:p>
          <w:p w:rsidR="00D24814" w:rsidRDefault="00D24814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PPP – planirani prihodki od prodaje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FA40C1" w:rsidRDefault="00FA40C1" w:rsidP="00FA40C1">
            <w:pPr>
              <w:jc w:val="center"/>
              <w:rPr>
                <w:rFonts w:ascii="Calibri" w:eastAsia="Times New Roman" w:hAnsi="Calibri" w:cs="Arial"/>
                <w:b/>
                <w:i/>
                <w:color w:val="0070C0"/>
                <w:sz w:val="28"/>
                <w:szCs w:val="28"/>
              </w:rPr>
            </w:pPr>
            <w:r w:rsidRPr="00FA40C1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Vzvodje</w:t>
            </w:r>
          </w:p>
        </w:tc>
        <w:tc>
          <w:tcPr>
            <w:tcW w:w="5465" w:type="dxa"/>
            <w:vAlign w:val="center"/>
          </w:tcPr>
          <w:p w:rsidR="00125810" w:rsidRPr="00FA40C1" w:rsidRDefault="00125810" w:rsidP="00356A4E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D70D78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Poslovni vzvod</w:t>
            </w:r>
          </w:p>
        </w:tc>
        <w:tc>
          <w:tcPr>
            <w:tcW w:w="6662" w:type="dxa"/>
            <w:vAlign w:val="center"/>
          </w:tcPr>
          <w:p w:rsidR="00125810" w:rsidRPr="00125810" w:rsidRDefault="00D70D78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Pove za koliko % se spremeni dobiček iz poslovanja, če se poveča prodaja za 1%</w:t>
            </w:r>
          </w:p>
        </w:tc>
        <w:tc>
          <w:tcPr>
            <w:tcW w:w="5465" w:type="dxa"/>
            <w:vAlign w:val="center"/>
          </w:tcPr>
          <w:p w:rsidR="00125810" w:rsidRDefault="00125810" w:rsidP="00C73D51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PV=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S-VC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OP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=1+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FC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OP</m:t>
                    </m:r>
                  </m:den>
                </m:f>
              </m:oMath>
            </m:oMathPara>
          </w:p>
          <w:p w:rsidR="00125810" w:rsidRPr="005D6884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S – Prodaja</w:t>
            </w:r>
          </w:p>
          <w:p w:rsidR="00125810" w:rsidRPr="005D6884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VC – variabilni stroški</w:t>
            </w:r>
          </w:p>
          <w:p w:rsidR="00125810" w:rsidRPr="005D6884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FC – fiksni stroški</w:t>
            </w:r>
          </w:p>
          <w:p w:rsidR="00125810" w:rsidRPr="00C73D51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OP - dobiček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9648B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Finančni vzvod</w:t>
            </w:r>
          </w:p>
        </w:tc>
        <w:tc>
          <w:tcPr>
            <w:tcW w:w="6662" w:type="dxa"/>
            <w:vAlign w:val="center"/>
          </w:tcPr>
          <w:p w:rsidR="00E92E78" w:rsidRPr="00E92E78" w:rsidRDefault="00E92E78" w:rsidP="00E92E78">
            <w:pP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 w:rsidRPr="00E92E78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Stopja finančnega vzvoda pove, za koliko % se spremeni dobiček, če se spremeni dobiček iz poslovanja za 1%.</w:t>
            </w:r>
          </w:p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C73D51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DFL=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OP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OP-I</m:t>
                    </m:r>
                  </m:den>
                </m:f>
              </m:oMath>
            </m:oMathPara>
          </w:p>
          <w:p w:rsidR="00125810" w:rsidRPr="005D6884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OP – dobiček = S - VC - FC</w:t>
            </w:r>
          </w:p>
          <w:p w:rsidR="00125810" w:rsidRDefault="00125810" w:rsidP="00C73D51">
            <w:pPr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w:r w:rsidRPr="005D6884"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  <w:t>I – vrednost stroškov obresti</w:t>
            </w: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9648B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Celotni vzvod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125810" w:rsidP="00C73D51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CV=PV×FV</m:t>
                </m:r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25810" w:rsidRPr="00FA40C1" w:rsidRDefault="00FA40C1" w:rsidP="00FA40C1">
            <w:pPr>
              <w:jc w:val="center"/>
              <w:rPr>
                <w:rFonts w:ascii="Calibri" w:eastAsia="Times New Roman" w:hAnsi="Calibri" w:cs="Arial"/>
                <w:b/>
                <w:i/>
                <w:color w:val="0070C0"/>
                <w:sz w:val="28"/>
                <w:szCs w:val="28"/>
              </w:rPr>
            </w:pPr>
            <w:r w:rsidRPr="00FA40C1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Finančni kazalci</w:t>
            </w:r>
          </w:p>
        </w:tc>
        <w:tc>
          <w:tcPr>
            <w:tcW w:w="5465" w:type="dxa"/>
            <w:vAlign w:val="center"/>
          </w:tcPr>
          <w:p w:rsidR="00125810" w:rsidRPr="00FA40C1" w:rsidRDefault="00125810" w:rsidP="00356A4E">
            <w:pPr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Delež dobička iz poslovanja v prihodkih od prodaje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356A4E" w:rsidRDefault="00086434" w:rsidP="00356A4E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dobiček iz poslovanja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prihodki od prodaja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lastRenderedPageBreak/>
              <w:t>Kratkoročni koeficient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BC3402" w:rsidRDefault="00086434" w:rsidP="00356A4E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gibljiva sredstva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kratkoročne obveznosti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Kazalci kapitalizacije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dolgoročni dolg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kapital</m:t>
                    </m:r>
                  </m:den>
                </m:f>
              </m:oMath>
            </m:oMathPara>
          </w:p>
          <w:p w:rsidR="00125810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prednostne delnice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kapital</m:t>
                    </m:r>
                  </m:den>
                </m:f>
              </m:oMath>
            </m:oMathPara>
          </w:p>
          <w:p w:rsidR="00125810" w:rsidRPr="003C4208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navadne delnice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kapital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Delež prihodkov od prodaje v sedanji vrednosti osnovnih sredstev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04448A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prihodki od prodaje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vrednost osnovnih sredstev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Obračanje zalog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656B22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stroški prodanega blaga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povprečje zalog</m:t>
                    </m:r>
                  </m:den>
                </m:f>
              </m:oMath>
            </m:oMathPara>
          </w:p>
        </w:tc>
      </w:tr>
      <w:tr w:rsidR="00125810" w:rsidTr="00E34ABD">
        <w:tc>
          <w:tcPr>
            <w:tcW w:w="2093" w:type="dxa"/>
            <w:vAlign w:val="center"/>
          </w:tcPr>
          <w:p w:rsidR="00125810" w:rsidRPr="00125810" w:rsidRDefault="00125810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 w:rsidRPr="00125810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Donosnost lastniškega kapitala</w:t>
            </w:r>
          </w:p>
        </w:tc>
        <w:tc>
          <w:tcPr>
            <w:tcW w:w="6662" w:type="dxa"/>
            <w:vAlign w:val="center"/>
          </w:tcPr>
          <w:p w:rsidR="00125810" w:rsidRPr="00125810" w:rsidRDefault="00125810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125810" w:rsidRPr="00236DA2" w:rsidRDefault="00086434" w:rsidP="00D0044F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čisti dobiček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povprečni lastniški kapital</m:t>
                    </m:r>
                  </m:den>
                </m:f>
              </m:oMath>
            </m:oMathPara>
          </w:p>
        </w:tc>
      </w:tr>
      <w:tr w:rsidR="00FF3EE5" w:rsidTr="00E34ABD">
        <w:tc>
          <w:tcPr>
            <w:tcW w:w="2093" w:type="dxa"/>
            <w:vAlign w:val="center"/>
          </w:tcPr>
          <w:p w:rsidR="00FF3EE5" w:rsidRPr="00125810" w:rsidRDefault="00FF3EE5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WACC</w:t>
            </w:r>
          </w:p>
        </w:tc>
        <w:tc>
          <w:tcPr>
            <w:tcW w:w="6662" w:type="dxa"/>
            <w:vAlign w:val="center"/>
          </w:tcPr>
          <w:p w:rsidR="00FF3EE5" w:rsidRDefault="00FF3EE5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  <w:p w:rsidR="00FF3EE5" w:rsidRDefault="00FF3EE5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Je tehtano povprečje stroškov financiranja.</w:t>
            </w:r>
          </w:p>
          <w:p w:rsidR="00FF3EE5" w:rsidRPr="00125810" w:rsidRDefault="00FF3EE5" w:rsidP="00125810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FF3EE5" w:rsidRDefault="00FF3EE5" w:rsidP="00FF3EE5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WACC=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ri×MVi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MVi</m:t>
                        </m:r>
                      </m:e>
                    </m:nary>
                  </m:den>
                </m:f>
              </m:oMath>
            </m:oMathPara>
          </w:p>
          <w:p w:rsidR="00FF3EE5" w:rsidRDefault="00FF3EE5" w:rsidP="00FF3EE5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FF3EE5" w:rsidRDefault="00FF3EE5" w:rsidP="00FF3EE5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N= število virov kapitala</w:t>
            </w:r>
          </w:p>
          <w:p w:rsidR="00FF3EE5" w:rsidRDefault="00FF3EE5" w:rsidP="00FF3EE5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r</w:t>
            </w:r>
            <w:r w:rsidRPr="00FF3EE5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i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 - zahtevan donos za posamezni vir financiranja</w:t>
            </w:r>
          </w:p>
          <w:p w:rsidR="00FF3EE5" w:rsidRDefault="00FF3EE5" w:rsidP="00FF3EE5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MVi – je tržna vrednost </w:t>
            </w:r>
            <w:r w:rsidR="00D9351A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posameznega dolga</w:t>
            </w:r>
          </w:p>
          <w:p w:rsidR="00E34ABD" w:rsidRDefault="00E34ABD" w:rsidP="00FF3EE5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E34ABD" w:rsidRDefault="00E34ABD" w:rsidP="00FF3EE5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 xml:space="preserve">WACC=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MVe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MVe+MVd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 xml:space="preserve">×Re+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MVd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MVe+MVd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×Rd×(1-t)</m:t>
                </m:r>
              </m:oMath>
            </m:oMathPara>
          </w:p>
          <w:p w:rsidR="00FF3EE5" w:rsidRDefault="00FF3EE5" w:rsidP="00FF3EE5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E34ABD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MVe – tržna vrednost kapitala</w:t>
            </w:r>
          </w:p>
          <w:p w:rsidR="00E34ABD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MVd – tržna vrednost dolgov</w:t>
            </w:r>
          </w:p>
          <w:p w:rsidR="00E34ABD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Re – zahtavena stopnja donosa na kapital</w:t>
            </w:r>
          </w:p>
          <w:p w:rsidR="00E34ABD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Rd – zahtevana stopnja donosa na dolgove</w:t>
            </w:r>
          </w:p>
          <w:p w:rsidR="00E34ABD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t- stopnja davka od dohodkov pravnih oseb</w:t>
            </w:r>
          </w:p>
          <w:p w:rsidR="00E34ABD" w:rsidRPr="00030943" w:rsidRDefault="00E34ABD" w:rsidP="00E34ABD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CD6138" w:rsidTr="00E34ABD">
        <w:tc>
          <w:tcPr>
            <w:tcW w:w="2093" w:type="dxa"/>
            <w:vAlign w:val="center"/>
          </w:tcPr>
          <w:p w:rsidR="00CD6138" w:rsidRPr="00125810" w:rsidRDefault="00CD6138" w:rsidP="00BB7597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CD6138" w:rsidRPr="00125810" w:rsidRDefault="00CD6138" w:rsidP="00CD6138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Amortizacija</w:t>
            </w:r>
          </w:p>
        </w:tc>
        <w:tc>
          <w:tcPr>
            <w:tcW w:w="5465" w:type="dxa"/>
            <w:vAlign w:val="center"/>
          </w:tcPr>
          <w:p w:rsidR="00CD6138" w:rsidRPr="00EF5E09" w:rsidRDefault="00CD6138" w:rsidP="00D0044F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CD6138" w:rsidTr="00E34ABD">
        <w:tc>
          <w:tcPr>
            <w:tcW w:w="2093" w:type="dxa"/>
            <w:vAlign w:val="center"/>
          </w:tcPr>
          <w:p w:rsidR="00CD6138" w:rsidRPr="00125810" w:rsidRDefault="00500EBB" w:rsidP="00500EBB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</w:t>
            </w:r>
            <w:r w:rsidR="00CD6138"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dpisano</w:t>
            </w: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st opreme</w:t>
            </w:r>
          </w:p>
        </w:tc>
        <w:tc>
          <w:tcPr>
            <w:tcW w:w="6662" w:type="dxa"/>
            <w:vAlign w:val="center"/>
          </w:tcPr>
          <w:p w:rsidR="00CD6138" w:rsidRPr="00125810" w:rsidRDefault="00CD6138" w:rsidP="00EF1ED3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5465" w:type="dxa"/>
            <w:vAlign w:val="center"/>
          </w:tcPr>
          <w:p w:rsidR="00CD6138" w:rsidRDefault="00500EBB" w:rsidP="00CD613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 xml:space="preserve">stopnja odpisanosti=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odpisana vrednost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nabavna vrednost</m:t>
                    </m:r>
                  </m:den>
                </m:f>
              </m:oMath>
            </m:oMathPara>
          </w:p>
          <w:p w:rsidR="00500EBB" w:rsidRDefault="00500EBB" w:rsidP="00CD613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</w:p>
          <w:p w:rsidR="00CD6138" w:rsidRDefault="00500EBB" w:rsidP="00CD613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w:lastRenderedPageBreak/>
                  <m:t>stopnja neopisanosti=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neodpisana vrednost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0C0"/>
                        <w:sz w:val="20"/>
                        <w:szCs w:val="20"/>
                      </w:rPr>
                      <m:t>nabavna vrednost</m:t>
                    </m:r>
                  </m:den>
                </m:f>
              </m:oMath>
            </m:oMathPara>
          </w:p>
          <w:p w:rsidR="00FB1FB3" w:rsidRDefault="00FB1FB3" w:rsidP="00CD613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</w:p>
          <w:p w:rsidR="00136AAE" w:rsidRDefault="00FB1FB3" w:rsidP="00CD6138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0C0"/>
                    <w:sz w:val="20"/>
                    <w:szCs w:val="20"/>
                  </w:rPr>
                  <m:t>nabavna vrednost=naodpisna vr.+odpisana vr.</m:t>
                </m:r>
              </m:oMath>
            </m:oMathPara>
          </w:p>
          <w:p w:rsidR="00500EBB" w:rsidRPr="00356A4E" w:rsidRDefault="00500EBB" w:rsidP="00FB1FB3">
            <w:pPr>
              <w:jc w:val="center"/>
              <w:rPr>
                <w:rFonts w:ascii="Calibri" w:eastAsia="Times New Roman" w:hAnsi="Calibri" w:cs="Times New Roman"/>
                <w:i/>
                <w:color w:val="0070C0"/>
                <w:sz w:val="24"/>
                <w:szCs w:val="24"/>
              </w:rPr>
            </w:pPr>
          </w:p>
        </w:tc>
      </w:tr>
      <w:tr w:rsidR="00C74291" w:rsidTr="00E34ABD">
        <w:tc>
          <w:tcPr>
            <w:tcW w:w="2093" w:type="dxa"/>
            <w:vAlign w:val="center"/>
          </w:tcPr>
          <w:p w:rsidR="00C74291" w:rsidRDefault="00C74291" w:rsidP="00500EBB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C74291" w:rsidRPr="00125810" w:rsidRDefault="00C74291" w:rsidP="00C74291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Kreditni posli</w:t>
            </w:r>
          </w:p>
        </w:tc>
        <w:tc>
          <w:tcPr>
            <w:tcW w:w="5465" w:type="dxa"/>
            <w:vAlign w:val="center"/>
          </w:tcPr>
          <w:p w:rsidR="00C74291" w:rsidRDefault="00C74291" w:rsidP="00CD6138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C74291" w:rsidTr="00E34ABD">
        <w:tc>
          <w:tcPr>
            <w:tcW w:w="2093" w:type="dxa"/>
            <w:vAlign w:val="center"/>
          </w:tcPr>
          <w:p w:rsidR="00C74291" w:rsidRDefault="00C74291" w:rsidP="00500EBB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Obročni način</w:t>
            </w:r>
          </w:p>
        </w:tc>
        <w:tc>
          <w:tcPr>
            <w:tcW w:w="6662" w:type="dxa"/>
            <w:vAlign w:val="center"/>
          </w:tcPr>
          <w:p w:rsidR="00C74291" w:rsidRPr="00125810" w:rsidRDefault="00C74291" w:rsidP="006F35B4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 xml:space="preserve">Glavnica se razdeli na n enakih delov. Obresti se računajo na posamezni del. </w:t>
            </w:r>
            <w:r w:rsidR="00566CC0"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Obrak sčasom pada.</w:t>
            </w:r>
          </w:p>
        </w:tc>
        <w:tc>
          <w:tcPr>
            <w:tcW w:w="5465" w:type="dxa"/>
            <w:vAlign w:val="center"/>
          </w:tcPr>
          <w:p w:rsidR="00C74291" w:rsidRDefault="0050535F" w:rsidP="0050535F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a</m:t>
                </m:r>
                <m:r>
                  <m:rPr>
                    <m:nor/>
                  </m:rP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  <w:vertAlign w:val="subscript"/>
                  </w:rPr>
                  <m:t>i</m:t>
                </m:r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  <w:vertAlign w:val="subscript"/>
                  </w:rPr>
                  <m:t>=Q+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(D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0</m:t>
                    </m:r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  <w:vertAlign w:val="subscript"/>
                          </w:rPr>
                          <m:t>i-1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Q)p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100</m:t>
                    </m:r>
                  </m:den>
                </m:f>
              </m:oMath>
            </m:oMathPara>
          </w:p>
          <w:p w:rsid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  <w:p w:rsid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a</w:t>
            </w:r>
            <w:r w:rsidRPr="0050535F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i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= obrok za obdobje i</w:t>
            </w:r>
          </w:p>
          <w:p w:rsid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Q – n-ti del glavnice ki se odplačuje v obdobju i</w:t>
            </w:r>
          </w:p>
          <w:p w:rsid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D</w:t>
            </w:r>
            <w:r w:rsidRPr="0050535F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- celotna glavnica</w:t>
            </w:r>
          </w:p>
          <w:p w:rsidR="0050535F" w:rsidRP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p- obrestna mera</w:t>
            </w:r>
          </w:p>
          <w:p w:rsidR="0050535F" w:rsidRDefault="0050535F" w:rsidP="0050535F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  <w:tr w:rsidR="0006104F" w:rsidTr="00E34ABD">
        <w:tc>
          <w:tcPr>
            <w:tcW w:w="2093" w:type="dxa"/>
            <w:vAlign w:val="center"/>
          </w:tcPr>
          <w:p w:rsidR="0006104F" w:rsidRDefault="0006104F" w:rsidP="00500EBB">
            <w:pP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</w:pPr>
            <w:r>
              <w:rPr>
                <w:rFonts w:ascii="Calibri" w:eastAsiaTheme="minorEastAsia" w:hAnsi="Calibri"/>
                <w:i/>
                <w:color w:val="0070C0"/>
                <w:sz w:val="18"/>
                <w:szCs w:val="18"/>
              </w:rPr>
              <w:t>Anuitetni način</w:t>
            </w:r>
          </w:p>
        </w:tc>
        <w:tc>
          <w:tcPr>
            <w:tcW w:w="6662" w:type="dxa"/>
            <w:vAlign w:val="center"/>
          </w:tcPr>
          <w:p w:rsidR="0006104F" w:rsidRDefault="0006104F" w:rsidP="00EF1ED3">
            <w:pPr>
              <w:jc w:val="both"/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18"/>
                <w:szCs w:val="18"/>
              </w:rPr>
              <w:t>Anuiteta je ves čas enaka. S časom se v anuiteti povečuje delež glavnice in zmanjšuje delež obresti.</w:t>
            </w:r>
          </w:p>
        </w:tc>
        <w:tc>
          <w:tcPr>
            <w:tcW w:w="5465" w:type="dxa"/>
            <w:vAlign w:val="center"/>
          </w:tcPr>
          <w:p w:rsidR="0006104F" w:rsidRDefault="00D3625F" w:rsidP="00D3625F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70C0"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70C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D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  <w:vertAlign w:val="subscript"/>
                      </w:rPr>
                      <m:t>0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r-1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70C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70C0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0070C0"/>
                        <w:sz w:val="20"/>
                        <w:szCs w:val="20"/>
                      </w:rPr>
                      <m:t>-1</m:t>
                    </m:r>
                  </m:den>
                </m:f>
              </m:oMath>
            </m:oMathPara>
          </w:p>
          <w:p w:rsidR="00DC3D97" w:rsidRPr="00D3625F" w:rsidRDefault="00DC3D97" w:rsidP="00DC3D97">
            <w:pP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>r – če so obresti 8%</w:t>
            </w:r>
            <w:r w:rsidR="00C74A1B"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  <w:t xml:space="preserve"> je r 1,08</w:t>
            </w:r>
          </w:p>
          <w:p w:rsidR="00D3625F" w:rsidRPr="00D3625F" w:rsidRDefault="00D3625F" w:rsidP="00D3625F">
            <w:pPr>
              <w:jc w:val="center"/>
              <w:rPr>
                <w:rFonts w:ascii="Calibri" w:eastAsia="Times New Roman" w:hAnsi="Calibri" w:cs="Arial"/>
                <w:i/>
                <w:color w:val="0070C0"/>
                <w:sz w:val="20"/>
                <w:szCs w:val="20"/>
              </w:rPr>
            </w:pPr>
          </w:p>
        </w:tc>
      </w:tr>
    </w:tbl>
    <w:p w:rsidR="009644DA" w:rsidRDefault="009644DA" w:rsidP="00124A93">
      <w:pPr>
        <w:jc w:val="center"/>
        <w:rPr>
          <w:rFonts w:eastAsiaTheme="minorEastAsia"/>
          <w:b/>
          <w:color w:val="0070C0"/>
          <w:sz w:val="24"/>
          <w:szCs w:val="24"/>
        </w:rPr>
      </w:pPr>
    </w:p>
    <w:sectPr w:rsidR="009644DA" w:rsidSect="001258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F090B"/>
    <w:rsid w:val="00000FD8"/>
    <w:rsid w:val="000055B3"/>
    <w:rsid w:val="00022DF1"/>
    <w:rsid w:val="00030943"/>
    <w:rsid w:val="0004035D"/>
    <w:rsid w:val="0006104F"/>
    <w:rsid w:val="00061701"/>
    <w:rsid w:val="00067D06"/>
    <w:rsid w:val="00082EAA"/>
    <w:rsid w:val="00086434"/>
    <w:rsid w:val="00096F5D"/>
    <w:rsid w:val="000B58A7"/>
    <w:rsid w:val="000D51DB"/>
    <w:rsid w:val="000E7858"/>
    <w:rsid w:val="000F0FFE"/>
    <w:rsid w:val="00104DDD"/>
    <w:rsid w:val="00124A93"/>
    <w:rsid w:val="00124CA6"/>
    <w:rsid w:val="00125810"/>
    <w:rsid w:val="00136AAE"/>
    <w:rsid w:val="00141F10"/>
    <w:rsid w:val="00146817"/>
    <w:rsid w:val="00150D50"/>
    <w:rsid w:val="00153A34"/>
    <w:rsid w:val="00167A46"/>
    <w:rsid w:val="00173582"/>
    <w:rsid w:val="0017567E"/>
    <w:rsid w:val="001878A1"/>
    <w:rsid w:val="001914EE"/>
    <w:rsid w:val="0019648B"/>
    <w:rsid w:val="001A3E0C"/>
    <w:rsid w:val="001A4F66"/>
    <w:rsid w:val="001B3AEE"/>
    <w:rsid w:val="001E0EC7"/>
    <w:rsid w:val="001E3846"/>
    <w:rsid w:val="001E5ED3"/>
    <w:rsid w:val="001F58DF"/>
    <w:rsid w:val="00214F41"/>
    <w:rsid w:val="00262BEB"/>
    <w:rsid w:val="00280400"/>
    <w:rsid w:val="002C0DE8"/>
    <w:rsid w:val="002C756B"/>
    <w:rsid w:val="0032503F"/>
    <w:rsid w:val="00336ADB"/>
    <w:rsid w:val="00342573"/>
    <w:rsid w:val="00356A4E"/>
    <w:rsid w:val="0036319D"/>
    <w:rsid w:val="0037693F"/>
    <w:rsid w:val="00386844"/>
    <w:rsid w:val="003A2195"/>
    <w:rsid w:val="003A5420"/>
    <w:rsid w:val="003B3F91"/>
    <w:rsid w:val="003E37EA"/>
    <w:rsid w:val="003E426F"/>
    <w:rsid w:val="003F54EE"/>
    <w:rsid w:val="003F74AF"/>
    <w:rsid w:val="00425C4A"/>
    <w:rsid w:val="0045072D"/>
    <w:rsid w:val="00453031"/>
    <w:rsid w:val="0045678F"/>
    <w:rsid w:val="0046715B"/>
    <w:rsid w:val="004A5442"/>
    <w:rsid w:val="004E3E51"/>
    <w:rsid w:val="00500EBB"/>
    <w:rsid w:val="0050535F"/>
    <w:rsid w:val="0053050A"/>
    <w:rsid w:val="00566CC0"/>
    <w:rsid w:val="005678D2"/>
    <w:rsid w:val="005D12D1"/>
    <w:rsid w:val="005D6884"/>
    <w:rsid w:val="006227D2"/>
    <w:rsid w:val="00637F6F"/>
    <w:rsid w:val="006528A2"/>
    <w:rsid w:val="00652E6E"/>
    <w:rsid w:val="00656A4C"/>
    <w:rsid w:val="0067099E"/>
    <w:rsid w:val="00673AA1"/>
    <w:rsid w:val="006A6E89"/>
    <w:rsid w:val="006C3930"/>
    <w:rsid w:val="006D34F6"/>
    <w:rsid w:val="006E6FEB"/>
    <w:rsid w:val="006F35B4"/>
    <w:rsid w:val="006F3D7B"/>
    <w:rsid w:val="00722F80"/>
    <w:rsid w:val="00725F4C"/>
    <w:rsid w:val="00733F70"/>
    <w:rsid w:val="00734051"/>
    <w:rsid w:val="00754701"/>
    <w:rsid w:val="007549F8"/>
    <w:rsid w:val="00761794"/>
    <w:rsid w:val="00790988"/>
    <w:rsid w:val="007C1DCF"/>
    <w:rsid w:val="007E13EC"/>
    <w:rsid w:val="007E50F5"/>
    <w:rsid w:val="007F300F"/>
    <w:rsid w:val="007F34A8"/>
    <w:rsid w:val="008028D1"/>
    <w:rsid w:val="0082796D"/>
    <w:rsid w:val="00860E52"/>
    <w:rsid w:val="0086716B"/>
    <w:rsid w:val="00874256"/>
    <w:rsid w:val="00890FC6"/>
    <w:rsid w:val="008C38CD"/>
    <w:rsid w:val="008F3CAC"/>
    <w:rsid w:val="008F7F5E"/>
    <w:rsid w:val="00902CAE"/>
    <w:rsid w:val="009245DE"/>
    <w:rsid w:val="0094037E"/>
    <w:rsid w:val="00956817"/>
    <w:rsid w:val="009644DA"/>
    <w:rsid w:val="0096746A"/>
    <w:rsid w:val="00977CB7"/>
    <w:rsid w:val="009947BA"/>
    <w:rsid w:val="00997106"/>
    <w:rsid w:val="009A65A0"/>
    <w:rsid w:val="009A7A12"/>
    <w:rsid w:val="00A0228D"/>
    <w:rsid w:val="00A05360"/>
    <w:rsid w:val="00A36B58"/>
    <w:rsid w:val="00A63DE8"/>
    <w:rsid w:val="00AA655D"/>
    <w:rsid w:val="00AB0B94"/>
    <w:rsid w:val="00AC09F2"/>
    <w:rsid w:val="00AC644F"/>
    <w:rsid w:val="00AF05C8"/>
    <w:rsid w:val="00B02950"/>
    <w:rsid w:val="00B05572"/>
    <w:rsid w:val="00B232F2"/>
    <w:rsid w:val="00B4264E"/>
    <w:rsid w:val="00B5563C"/>
    <w:rsid w:val="00B77E86"/>
    <w:rsid w:val="00B811B0"/>
    <w:rsid w:val="00B90331"/>
    <w:rsid w:val="00B9273B"/>
    <w:rsid w:val="00B94E45"/>
    <w:rsid w:val="00B95D18"/>
    <w:rsid w:val="00B96415"/>
    <w:rsid w:val="00BA4675"/>
    <w:rsid w:val="00BB5D38"/>
    <w:rsid w:val="00BB7597"/>
    <w:rsid w:val="00C04D0B"/>
    <w:rsid w:val="00C54768"/>
    <w:rsid w:val="00C54A30"/>
    <w:rsid w:val="00C73D51"/>
    <w:rsid w:val="00C74291"/>
    <w:rsid w:val="00C74A1B"/>
    <w:rsid w:val="00CD6138"/>
    <w:rsid w:val="00CF090B"/>
    <w:rsid w:val="00D0044F"/>
    <w:rsid w:val="00D16E73"/>
    <w:rsid w:val="00D24814"/>
    <w:rsid w:val="00D26471"/>
    <w:rsid w:val="00D33CDD"/>
    <w:rsid w:val="00D35103"/>
    <w:rsid w:val="00D3625F"/>
    <w:rsid w:val="00D405C8"/>
    <w:rsid w:val="00D44F4B"/>
    <w:rsid w:val="00D62001"/>
    <w:rsid w:val="00D70D78"/>
    <w:rsid w:val="00D7454E"/>
    <w:rsid w:val="00D846EB"/>
    <w:rsid w:val="00D9249D"/>
    <w:rsid w:val="00D9351A"/>
    <w:rsid w:val="00DA3094"/>
    <w:rsid w:val="00DC3D97"/>
    <w:rsid w:val="00DD7948"/>
    <w:rsid w:val="00E25309"/>
    <w:rsid w:val="00E34ABD"/>
    <w:rsid w:val="00E644B8"/>
    <w:rsid w:val="00E92E78"/>
    <w:rsid w:val="00EB4339"/>
    <w:rsid w:val="00EF1ED3"/>
    <w:rsid w:val="00EF5031"/>
    <w:rsid w:val="00EF5E09"/>
    <w:rsid w:val="00F11640"/>
    <w:rsid w:val="00F47FF9"/>
    <w:rsid w:val="00F54B10"/>
    <w:rsid w:val="00F81400"/>
    <w:rsid w:val="00FA40C1"/>
    <w:rsid w:val="00FB1FB3"/>
    <w:rsid w:val="00FB531D"/>
    <w:rsid w:val="00FE3916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5031"/>
    <w:rPr>
      <w:color w:val="808080"/>
    </w:rPr>
  </w:style>
  <w:style w:type="table" w:styleId="TableGrid">
    <w:name w:val="Table Grid"/>
    <w:basedOn w:val="TableNormal"/>
    <w:uiPriority w:val="59"/>
    <w:rsid w:val="0096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D8BE-FADF-45EA-B4DC-EBA8199E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Pavliha R&amp;R d.o.o.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Črtomir Pavliha</dc:creator>
  <cp:keywords/>
  <dc:description/>
  <cp:lastModifiedBy>Črtomir Pavliha</cp:lastModifiedBy>
  <cp:revision>143</cp:revision>
  <dcterms:created xsi:type="dcterms:W3CDTF">2009-02-21T10:55:00Z</dcterms:created>
  <dcterms:modified xsi:type="dcterms:W3CDTF">2010-12-17T13:13:00Z</dcterms:modified>
</cp:coreProperties>
</file>